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5D09E" w14:textId="2245284C" w:rsidR="00F97727" w:rsidRPr="00B1167C" w:rsidRDefault="00F97727" w:rsidP="00E8700C">
      <w:pPr>
        <w:pStyle w:val="Default"/>
        <w:rPr>
          <w:color w:val="auto"/>
          <w:sz w:val="22"/>
          <w:szCs w:val="22"/>
        </w:rPr>
      </w:pPr>
      <w:bookmarkStart w:id="0" w:name="_GoBack"/>
      <w:bookmarkEnd w:id="0"/>
      <w:r>
        <w:rPr>
          <w:b/>
          <w:color w:val="auto"/>
        </w:rPr>
        <w:t>Finland’s success hinges on skills – The next government will hold the fate of the country in its hands</w:t>
      </w:r>
      <w:r>
        <w:rPr>
          <w:b/>
          <w:color w:val="auto"/>
        </w:rPr>
        <w:br/>
      </w:r>
      <w:r>
        <w:rPr>
          <w:b/>
          <w:color w:val="auto"/>
        </w:rPr>
        <w:br/>
      </w:r>
      <w:proofErr w:type="gramStart"/>
      <w:r>
        <w:rPr>
          <w:b/>
          <w:color w:val="auto"/>
        </w:rPr>
        <w:t>A</w:t>
      </w:r>
      <w:proofErr w:type="gramEnd"/>
      <w:r>
        <w:rPr>
          <w:b/>
          <w:color w:val="auto"/>
        </w:rPr>
        <w:t xml:space="preserve"> high level of skills and their flexible development are the key strengths upon which Finland’s future welfare is built</w:t>
      </w:r>
      <w:r w:rsidRPr="009F1F92">
        <w:rPr>
          <w:b/>
          <w:color w:val="auto"/>
        </w:rPr>
        <w:t>.</w:t>
      </w:r>
      <w:r w:rsidRPr="009F1F92">
        <w:rPr>
          <w:b/>
          <w:iCs/>
          <w:color w:val="auto"/>
        </w:rPr>
        <w:t xml:space="preserve"> That is why investment in education, research and innovation must become strategic focus areas for the next government. </w:t>
      </w:r>
      <w:r w:rsidRPr="009F1F92">
        <w:rPr>
          <w:b/>
          <w:color w:val="auto"/>
        </w:rPr>
        <w:t xml:space="preserve">The only guarantee of Finland’s future success is ensuring the provision of sufficient funding for higher education institutions, research and skills. </w:t>
      </w:r>
      <w:r w:rsidRPr="009F1F92">
        <w:rPr>
          <w:b/>
          <w:color w:val="auto"/>
        </w:rPr>
        <w:br/>
      </w:r>
      <w:r>
        <w:rPr>
          <w:i/>
          <w:color w:val="auto"/>
          <w:sz w:val="22"/>
          <w:szCs w:val="22"/>
        </w:rPr>
        <w:br/>
      </w:r>
      <w:r>
        <w:rPr>
          <w:color w:val="auto"/>
          <w:sz w:val="22"/>
          <w:szCs w:val="22"/>
        </w:rPr>
        <w:t xml:space="preserve">Universities and universities of applied sciences have committed to carrying out their significant societal duties, flexibly developing their operations to meet the needs of society. The successful execution of their mission also in the future requires improved guarantees for the stability, predictability and sufficiency of their core funding. </w:t>
      </w:r>
    </w:p>
    <w:p w14:paraId="48021BD7" w14:textId="77777777" w:rsidR="00F97727" w:rsidRPr="00B1167C" w:rsidRDefault="00F97727" w:rsidP="00E8700C">
      <w:pPr>
        <w:pStyle w:val="Default"/>
        <w:rPr>
          <w:color w:val="auto"/>
          <w:sz w:val="22"/>
          <w:szCs w:val="22"/>
        </w:rPr>
      </w:pPr>
    </w:p>
    <w:p w14:paraId="26F78E4E" w14:textId="33D7CD6E" w:rsidR="00594647" w:rsidRPr="00C22308" w:rsidRDefault="00594647" w:rsidP="00594647">
      <w:pPr>
        <w:pStyle w:val="Default"/>
        <w:rPr>
          <w:color w:val="auto"/>
          <w:sz w:val="22"/>
          <w:szCs w:val="22"/>
        </w:rPr>
      </w:pPr>
      <w:r>
        <w:rPr>
          <w:color w:val="auto"/>
          <w:sz w:val="22"/>
          <w:szCs w:val="22"/>
        </w:rPr>
        <w:t>We need a long-term strategy for a scientific policy and an innovation policy that serve both the research and higher education sphere as well as the business sector in a sustainable manner. Funding allocated to education and research must be considered an investment that will secure our continued success.</w:t>
      </w:r>
      <w:r w:rsidR="009B136D">
        <w:rPr>
          <w:color w:val="auto"/>
          <w:sz w:val="22"/>
          <w:szCs w:val="22"/>
        </w:rPr>
        <w:br/>
      </w:r>
      <w:r w:rsidR="009B136D">
        <w:rPr>
          <w:color w:val="auto"/>
          <w:sz w:val="22"/>
          <w:szCs w:val="22"/>
        </w:rPr>
        <w:br/>
      </w:r>
      <w:r w:rsidR="009B136D" w:rsidRPr="00C22308">
        <w:rPr>
          <w:color w:val="auto"/>
          <w:sz w:val="22"/>
          <w:szCs w:val="22"/>
        </w:rPr>
        <w:t>Innovations and research that will lay a foundation for our welfare and growt</w:t>
      </w:r>
      <w:r w:rsidRPr="00C22308">
        <w:rPr>
          <w:color w:val="auto"/>
          <w:sz w:val="22"/>
          <w:szCs w:val="22"/>
        </w:rPr>
        <w:t>h for deca</w:t>
      </w:r>
      <w:r w:rsidR="009B136D" w:rsidRPr="00C22308">
        <w:rPr>
          <w:color w:val="auto"/>
          <w:sz w:val="22"/>
          <w:szCs w:val="22"/>
        </w:rPr>
        <w:t>des – even centuries – are being conducted right now.</w:t>
      </w:r>
    </w:p>
    <w:p w14:paraId="021AFF49" w14:textId="598B9AF4" w:rsidR="00594647" w:rsidRPr="00B1167C" w:rsidRDefault="00B04522" w:rsidP="00594647">
      <w:pPr>
        <w:pStyle w:val="Default"/>
        <w:rPr>
          <w:color w:val="auto"/>
          <w:sz w:val="22"/>
          <w:szCs w:val="22"/>
        </w:rPr>
      </w:pPr>
      <w:r>
        <w:rPr>
          <w:color w:val="auto"/>
          <w:sz w:val="22"/>
          <w:szCs w:val="22"/>
        </w:rPr>
        <w:br/>
        <w:t xml:space="preserve">Finland cannot thrive without unrestricted top-level basic research, state-of-the-art applied research and interaction between academic communities and society. From the perspective of fostering employment and economic growth, other central factors include improving the level of education, as well as developing models and funding for life-long education. </w:t>
      </w:r>
    </w:p>
    <w:p w14:paraId="60C048CB" w14:textId="0942D639" w:rsidR="00594647" w:rsidRPr="00B1167C" w:rsidRDefault="00E8700C" w:rsidP="00594647">
      <w:pPr>
        <w:pStyle w:val="Default"/>
        <w:rPr>
          <w:color w:val="auto"/>
          <w:sz w:val="22"/>
          <w:szCs w:val="22"/>
        </w:rPr>
      </w:pPr>
      <w:r>
        <w:rPr>
          <w:color w:val="auto"/>
          <w:sz w:val="22"/>
          <w:szCs w:val="22"/>
        </w:rPr>
        <w:br/>
        <w:t xml:space="preserve">A highly educated workforce, products with high added value and attractive competence clusters draw more international experts, investments and businesses to Finland. The work-related immigration of skilled experts must be further streamlined. </w:t>
      </w:r>
    </w:p>
    <w:p w14:paraId="4BB57335" w14:textId="77777777" w:rsidR="00594647" w:rsidRPr="00B1167C" w:rsidRDefault="00B04522" w:rsidP="00594647">
      <w:pPr>
        <w:pStyle w:val="Default"/>
        <w:rPr>
          <w:color w:val="auto"/>
          <w:sz w:val="22"/>
          <w:szCs w:val="22"/>
        </w:rPr>
      </w:pPr>
      <w:r>
        <w:rPr>
          <w:b/>
          <w:bCs/>
          <w:color w:val="auto"/>
          <w:sz w:val="22"/>
          <w:szCs w:val="22"/>
        </w:rPr>
        <w:lastRenderedPageBreak/>
        <w:br/>
        <w:t xml:space="preserve">When the government pursues a higher education policy with a forward-looking perspective, it will </w:t>
      </w:r>
      <w:r>
        <w:rPr>
          <w:b/>
          <w:bCs/>
          <w:color w:val="auto"/>
          <w:sz w:val="22"/>
          <w:szCs w:val="22"/>
        </w:rPr>
        <w:br/>
      </w:r>
    </w:p>
    <w:p w14:paraId="21DCDC0B" w14:textId="5B9A774D" w:rsidR="008D51D0" w:rsidRPr="00B1167C" w:rsidRDefault="008D51D0" w:rsidP="008D51D0">
      <w:pPr>
        <w:pStyle w:val="Default"/>
        <w:numPr>
          <w:ilvl w:val="0"/>
          <w:numId w:val="4"/>
        </w:numPr>
        <w:spacing w:after="24"/>
        <w:rPr>
          <w:color w:val="auto"/>
          <w:sz w:val="22"/>
          <w:szCs w:val="22"/>
        </w:rPr>
      </w:pPr>
      <w:r>
        <w:rPr>
          <w:i/>
          <w:iCs/>
          <w:color w:val="auto"/>
          <w:sz w:val="22"/>
          <w:szCs w:val="22"/>
        </w:rPr>
        <w:t>Offer Finland’s</w:t>
      </w:r>
      <w:r>
        <w:rPr>
          <w:color w:val="auto"/>
          <w:sz w:val="22"/>
          <w:szCs w:val="22"/>
        </w:rPr>
        <w:t xml:space="preserve"> </w:t>
      </w:r>
      <w:r>
        <w:rPr>
          <w:i/>
          <w:iCs/>
          <w:color w:val="auto"/>
          <w:sz w:val="22"/>
          <w:szCs w:val="22"/>
        </w:rPr>
        <w:t>education, scientific and innovation policy a long-term direction</w:t>
      </w:r>
      <w:r>
        <w:rPr>
          <w:color w:val="auto"/>
          <w:sz w:val="22"/>
          <w:szCs w:val="22"/>
        </w:rPr>
        <w:t xml:space="preserve"> based on a consensus that extends across government terms and in a sustainable manner serves both the research and higher education sphere as well as the business sector.  </w:t>
      </w:r>
    </w:p>
    <w:p w14:paraId="63F31E50" w14:textId="77777777" w:rsidR="008D51D0" w:rsidRPr="00B1167C" w:rsidRDefault="008D51D0" w:rsidP="008D51D0">
      <w:pPr>
        <w:pStyle w:val="Default"/>
        <w:spacing w:after="24"/>
        <w:ind w:left="360"/>
        <w:rPr>
          <w:color w:val="auto"/>
          <w:sz w:val="22"/>
          <w:szCs w:val="22"/>
        </w:rPr>
      </w:pPr>
    </w:p>
    <w:p w14:paraId="61ED6715" w14:textId="5DF7E293" w:rsidR="00594647" w:rsidRPr="00B1167C" w:rsidRDefault="002673E7" w:rsidP="00594647">
      <w:pPr>
        <w:pStyle w:val="Luettelokappale"/>
        <w:numPr>
          <w:ilvl w:val="0"/>
          <w:numId w:val="4"/>
        </w:numPr>
        <w:spacing w:after="24"/>
        <w:rPr>
          <w:i/>
          <w:iCs/>
        </w:rPr>
      </w:pPr>
      <w:r w:rsidRPr="00C22308">
        <w:rPr>
          <w:rFonts w:ascii="Calibri" w:hAnsi="Calibri" w:cs="Calibri"/>
          <w:i/>
          <w:iCs/>
          <w:lang w:val="en-US"/>
        </w:rPr>
        <w:t xml:space="preserve">Commit to supporting the achievement of </w:t>
      </w:r>
      <w:r w:rsidR="00F60EEA" w:rsidRPr="00C22308">
        <w:rPr>
          <w:rFonts w:ascii="Calibri" w:hAnsi="Calibri" w:cs="Calibri"/>
          <w:i/>
          <w:iCs/>
          <w:lang w:val="en-US"/>
        </w:rPr>
        <w:t>the</w:t>
      </w:r>
      <w:r w:rsidRPr="00C22308">
        <w:rPr>
          <w:rFonts w:ascii="Calibri" w:hAnsi="Calibri" w:cs="Calibri"/>
          <w:i/>
          <w:iCs/>
          <w:lang w:val="en-US"/>
        </w:rPr>
        <w:t xml:space="preserve"> goal of increasing research, development and innovation investment to 4%</w:t>
      </w:r>
      <w:r w:rsidRPr="00C22308">
        <w:rPr>
          <w:rFonts w:ascii="Calibri" w:hAnsi="Calibri" w:cs="Calibri"/>
          <w:lang w:val="en-US"/>
        </w:rPr>
        <w:t xml:space="preserve"> </w:t>
      </w:r>
      <w:r w:rsidRPr="00C22308">
        <w:rPr>
          <w:rFonts w:ascii="Calibri" w:hAnsi="Calibri" w:cs="Calibri"/>
          <w:i/>
          <w:iCs/>
          <w:lang w:val="en-US"/>
        </w:rPr>
        <w:t>of the gross domestic product by 2030</w:t>
      </w:r>
      <w:r w:rsidR="00594647" w:rsidRPr="00C22308">
        <w:t xml:space="preserve">, </w:t>
      </w:r>
      <w:r w:rsidR="00594647" w:rsidRPr="00C22308">
        <w:rPr>
          <w:rFonts w:ascii="Calibri" w:hAnsi="Calibri"/>
        </w:rPr>
        <w:t xml:space="preserve">which also means a significant </w:t>
      </w:r>
      <w:r w:rsidR="00594647">
        <w:rPr>
          <w:rFonts w:ascii="Calibri" w:hAnsi="Calibri"/>
        </w:rPr>
        <w:t xml:space="preserve">growth in contributions to research and development activities, as well as increasing the funding for institutions of higher education in the coming government term. </w:t>
      </w:r>
      <w:r w:rsidR="00594647">
        <w:t xml:space="preserve">The government will improve the stability and predictability of the funding allocated to higher education institutions, for example, by permanently reinstating their funding indexes. Currently, the core funding of higher education institutions has decreased throughout the 2010s. </w:t>
      </w:r>
      <w:r w:rsidR="00594647">
        <w:br/>
      </w:r>
    </w:p>
    <w:p w14:paraId="6B987122" w14:textId="6D30978F" w:rsidR="00E050AF" w:rsidRPr="00B1167C" w:rsidRDefault="00594647" w:rsidP="00F42D93">
      <w:pPr>
        <w:pStyle w:val="Default"/>
        <w:numPr>
          <w:ilvl w:val="0"/>
          <w:numId w:val="5"/>
        </w:numPr>
        <w:spacing w:after="24"/>
        <w:rPr>
          <w:color w:val="auto"/>
          <w:sz w:val="22"/>
          <w:szCs w:val="22"/>
        </w:rPr>
      </w:pPr>
      <w:r>
        <w:rPr>
          <w:i/>
          <w:iCs/>
          <w:color w:val="auto"/>
          <w:sz w:val="22"/>
          <w:szCs w:val="22"/>
        </w:rPr>
        <w:t>Steer research, development and innovation policy on a shorter term through various funding instruments</w:t>
      </w:r>
      <w:r>
        <w:rPr>
          <w:color w:val="auto"/>
          <w:sz w:val="22"/>
          <w:szCs w:val="22"/>
        </w:rPr>
        <w:t xml:space="preserve"> by removing redundancies and focusing on larger entities, also in competitive funding.  Funding awarded by Business Finland and the Academy of Finland will be developed as broader and increasingly strategic entities. </w:t>
      </w:r>
      <w:r>
        <w:rPr>
          <w:color w:val="auto"/>
          <w:sz w:val="22"/>
          <w:szCs w:val="22"/>
        </w:rPr>
        <w:br/>
      </w:r>
    </w:p>
    <w:p w14:paraId="49CDD4FB" w14:textId="77777777" w:rsidR="00B1167C" w:rsidRDefault="0003281D" w:rsidP="00594647">
      <w:pPr>
        <w:pStyle w:val="Luettelokappale"/>
        <w:numPr>
          <w:ilvl w:val="0"/>
          <w:numId w:val="5"/>
        </w:numPr>
        <w:rPr>
          <w:i/>
        </w:rPr>
      </w:pPr>
      <w:r>
        <w:rPr>
          <w:i/>
        </w:rPr>
        <w:t>Choose education and research as the spearhead theme of its presidency of the Council of the European Union.</w:t>
      </w:r>
    </w:p>
    <w:p w14:paraId="40074DDD" w14:textId="77777777" w:rsidR="00B1167C" w:rsidRDefault="00B1167C" w:rsidP="00B1167C">
      <w:pPr>
        <w:rPr>
          <w:i/>
        </w:rPr>
      </w:pPr>
    </w:p>
    <w:p w14:paraId="7BCAA17C" w14:textId="77777777" w:rsidR="00B1167C" w:rsidRDefault="00B1167C" w:rsidP="00B1167C">
      <w:pPr>
        <w:rPr>
          <w:i/>
        </w:rPr>
      </w:pPr>
      <w:r>
        <w:rPr>
          <w:i/>
        </w:rPr>
        <w:t xml:space="preserve">Signatories: </w:t>
      </w:r>
    </w:p>
    <w:p w14:paraId="24103593" w14:textId="14D48A1B" w:rsidR="00ED1ECE" w:rsidRPr="009E7FA5" w:rsidRDefault="00B1167C" w:rsidP="009E7FA5">
      <w:pPr>
        <w:rPr>
          <w:rFonts w:eastAsia="Calibri" w:cstheme="minorHAnsi"/>
        </w:rPr>
      </w:pPr>
      <w:r>
        <w:br/>
        <w:t>Confederation of Finnish Industries</w:t>
      </w:r>
      <w:r>
        <w:br/>
        <w:t>Finnish Education Employers</w:t>
      </w:r>
      <w:r>
        <w:br/>
        <w:t xml:space="preserve">Confederation of Unions for Professional and Managerial Staff in Finland </w:t>
      </w:r>
      <w:proofErr w:type="spellStart"/>
      <w:r>
        <w:t>Akava</w:t>
      </w:r>
      <w:proofErr w:type="spellEnd"/>
      <w:r>
        <w:br/>
      </w:r>
      <w:r w:rsidR="00ED1ECE">
        <w:t>Finnish Psychological Association</w:t>
      </w:r>
      <w:r w:rsidR="00ED1ECE">
        <w:br/>
        <w:t>Finnish Association of Speech and Language Therapists</w:t>
      </w:r>
      <w:r w:rsidR="00ED1ECE">
        <w:br/>
      </w:r>
      <w:proofErr w:type="spellStart"/>
      <w:r w:rsidR="00ED1ECE">
        <w:lastRenderedPageBreak/>
        <w:t>Akava</w:t>
      </w:r>
      <w:proofErr w:type="spellEnd"/>
      <w:r w:rsidR="00ED1ECE">
        <w:t xml:space="preserve"> Special Branches</w:t>
      </w:r>
      <w:r w:rsidR="00ED1ECE">
        <w:br/>
        <w:t>Finnish Association of Academic Agronomists</w:t>
      </w:r>
      <w:r w:rsidR="00ED1ECE">
        <w:br/>
        <w:t>Association of Finnish Lawyers</w:t>
      </w:r>
      <w:r w:rsidR="00ED1ECE">
        <w:br/>
      </w:r>
      <w:r w:rsidR="009B136D" w:rsidRPr="009B136D">
        <w:rPr>
          <w:rStyle w:val="Korostus"/>
          <w:i w:val="0"/>
        </w:rPr>
        <w:t>Union</w:t>
      </w:r>
      <w:r w:rsidR="009B136D">
        <w:rPr>
          <w:rStyle w:val="st"/>
        </w:rPr>
        <w:t xml:space="preserve"> of Diaconal Workers in Finland</w:t>
      </w:r>
      <w:r w:rsidR="00ED1ECE" w:rsidRPr="00422AB6">
        <w:rPr>
          <w:rFonts w:eastAsia="Calibri" w:cstheme="minorHAnsi"/>
        </w:rPr>
        <w:br/>
      </w:r>
      <w:r w:rsidR="00ED1ECE">
        <w:t>Finnish Association of Occupational Health Nurses</w:t>
      </w:r>
      <w:r w:rsidR="00ED1ECE">
        <w:br/>
      </w:r>
      <w:proofErr w:type="spellStart"/>
      <w:r w:rsidR="00ED1ECE">
        <w:t>Talentia</w:t>
      </w:r>
      <w:proofErr w:type="spellEnd"/>
      <w:r w:rsidR="00ED1ECE">
        <w:t xml:space="preserve"> Union of Professional Social Workers</w:t>
      </w:r>
      <w:r w:rsidR="00ED1ECE">
        <w:br/>
        <w:t>Finnish Dental Association</w:t>
      </w:r>
      <w:r w:rsidR="00ED1ECE">
        <w:br/>
        <w:t>Finnish Association of Public Health Nurses</w:t>
      </w:r>
      <w:r w:rsidR="00ED1ECE">
        <w:br/>
        <w:t>Finnish Union of University Professors</w:t>
      </w:r>
      <w:r w:rsidR="00ED1ECE">
        <w:br/>
        <w:t>Social Science Professionals</w:t>
      </w:r>
      <w:r w:rsidR="00ED1ECE">
        <w:br/>
        <w:t>Finnish Union of University Researchers and Teachers</w:t>
      </w:r>
      <w:r w:rsidR="00ED1ECE">
        <w:br/>
        <w:t>Union of Professional Business Graduates in Finland</w:t>
      </w:r>
      <w:r w:rsidR="00ED1ECE">
        <w:br/>
        <w:t>Union of Professional Engineers in Finland</w:t>
      </w:r>
      <w:r w:rsidR="00ED1ECE">
        <w:br/>
        <w:t>Trade Union of Education in Finland</w:t>
      </w:r>
      <w:r w:rsidR="00ED1ECE">
        <w:br/>
        <w:t>Finnish Business School Graduates</w:t>
      </w:r>
      <w:r w:rsidR="00ED1ECE">
        <w:br/>
        <w:t>Academic Engineers and Architects in Finland TEK</w:t>
      </w:r>
      <w:r w:rsidR="00ED1ECE">
        <w:br/>
        <w:t>Finnish Pharmacists’ Association</w:t>
      </w:r>
      <w:r w:rsidR="00ED1ECE">
        <w:br/>
      </w:r>
      <w:proofErr w:type="spellStart"/>
      <w:r w:rsidR="009B136D">
        <w:t>Association</w:t>
      </w:r>
      <w:proofErr w:type="spellEnd"/>
      <w:r w:rsidR="009B136D">
        <w:t xml:space="preserve"> for Managers and Professionals YTY</w:t>
      </w:r>
      <w:r w:rsidR="009B136D">
        <w:br/>
        <w:t xml:space="preserve">Union of Professionals in Natural, Environmental and Forestry Sciences </w:t>
      </w:r>
      <w:proofErr w:type="spellStart"/>
      <w:r w:rsidR="009B136D">
        <w:t>Loimu</w:t>
      </w:r>
      <w:proofErr w:type="spellEnd"/>
      <w:r w:rsidR="009E7FA5">
        <w:br/>
      </w:r>
      <w:r w:rsidR="009E7FA5" w:rsidRPr="009E7FA5">
        <w:rPr>
          <w:rFonts w:eastAsia="Calibri" w:cstheme="minorHAnsi"/>
        </w:rPr>
        <w:t>Union of Sales and Marketing Professionals</w:t>
      </w:r>
    </w:p>
    <w:p w14:paraId="64F08645" w14:textId="398E0F83" w:rsidR="00B1167C" w:rsidRDefault="00B1167C" w:rsidP="00B1167C">
      <w:pPr>
        <w:rPr>
          <w:rFonts w:ascii="Calibri" w:eastAsia="Calibri" w:hAnsi="Calibri" w:cs="Calibri"/>
        </w:rPr>
      </w:pPr>
      <w:r>
        <w:t>Universities Finland UNIFI</w:t>
      </w:r>
      <w:r>
        <w:br/>
        <w:t>Rector’s Conference of Finnish Universities of Applied Science Arene</w:t>
      </w:r>
      <w:r>
        <w:br/>
        <w:t>National Union of University Students in Finland SYL</w:t>
      </w:r>
      <w:r>
        <w:br/>
        <w:t xml:space="preserve">University of Applied Sciences Students in Finland </w:t>
      </w:r>
      <w:proofErr w:type="spellStart"/>
      <w:r>
        <w:t>Samok</w:t>
      </w:r>
      <w:proofErr w:type="spellEnd"/>
      <w:r>
        <w:rPr>
          <w:rFonts w:ascii="Calibri" w:hAnsi="Calibri"/>
        </w:rPr>
        <w:t xml:space="preserve"> </w:t>
      </w:r>
    </w:p>
    <w:p w14:paraId="724C9868" w14:textId="175EFE1F" w:rsidR="00B1167C" w:rsidRPr="00AD5A2A" w:rsidRDefault="00B1167C" w:rsidP="00B1167C">
      <w:r>
        <w:t>Aalto University</w:t>
      </w:r>
      <w:r w:rsidR="00ED1ECE">
        <w:br/>
      </w:r>
      <w:proofErr w:type="spellStart"/>
      <w:r w:rsidR="00ED1ECE">
        <w:t>University</w:t>
      </w:r>
      <w:proofErr w:type="spellEnd"/>
      <w:r w:rsidR="00ED1ECE">
        <w:t xml:space="preserve"> of Helsinki</w:t>
      </w:r>
      <w:r>
        <w:br/>
        <w:t>University of Eastern Finland</w:t>
      </w:r>
      <w:r>
        <w:br/>
        <w:t xml:space="preserve">University of </w:t>
      </w:r>
      <w:proofErr w:type="spellStart"/>
      <w:r>
        <w:t>Jyväskylä</w:t>
      </w:r>
      <w:proofErr w:type="spellEnd"/>
      <w:r>
        <w:br/>
        <w:t>University of Lapland</w:t>
      </w:r>
      <w:r>
        <w:br/>
        <w:t>LUT University</w:t>
      </w:r>
      <w:r>
        <w:br/>
      </w:r>
      <w:proofErr w:type="spellStart"/>
      <w:r>
        <w:t>University</w:t>
      </w:r>
      <w:proofErr w:type="spellEnd"/>
      <w:r>
        <w:t xml:space="preserve"> of Oulu</w:t>
      </w:r>
      <w:r>
        <w:br/>
      </w:r>
      <w:proofErr w:type="spellStart"/>
      <w:r>
        <w:t>Hanken</w:t>
      </w:r>
      <w:proofErr w:type="spellEnd"/>
      <w:r>
        <w:t xml:space="preserve"> School of Economics</w:t>
      </w:r>
      <w:r>
        <w:br/>
        <w:t>University of the Arts Helsinki</w:t>
      </w:r>
      <w:r>
        <w:br/>
        <w:t>University of Tampere</w:t>
      </w:r>
      <w:r>
        <w:br/>
        <w:t>University of Turku</w:t>
      </w:r>
      <w:r>
        <w:br/>
        <w:t>University of Vaasa</w:t>
      </w:r>
      <w:r>
        <w:br/>
      </w:r>
      <w:proofErr w:type="spellStart"/>
      <w:r>
        <w:lastRenderedPageBreak/>
        <w:t>Åbo</w:t>
      </w:r>
      <w:proofErr w:type="spellEnd"/>
      <w:r>
        <w:t xml:space="preserve"> </w:t>
      </w:r>
      <w:proofErr w:type="spellStart"/>
      <w:r>
        <w:t>Akademi</w:t>
      </w:r>
      <w:proofErr w:type="spellEnd"/>
      <w:r>
        <w:t xml:space="preserve"> University</w:t>
      </w:r>
      <w:r>
        <w:br/>
        <w:t>National Defence University</w:t>
      </w:r>
      <w:r>
        <w:br/>
      </w:r>
      <w:r>
        <w:br/>
      </w:r>
      <w:proofErr w:type="spellStart"/>
      <w:r>
        <w:t>Centria</w:t>
      </w:r>
      <w:proofErr w:type="spellEnd"/>
      <w:r>
        <w:t xml:space="preserve"> University of Applied Sciences</w:t>
      </w:r>
      <w:r>
        <w:br/>
      </w:r>
      <w:proofErr w:type="spellStart"/>
      <w:r>
        <w:t>Diaconia</w:t>
      </w:r>
      <w:proofErr w:type="spellEnd"/>
      <w:r>
        <w:t xml:space="preserve"> University of Applied Sciences</w:t>
      </w:r>
      <w:r>
        <w:br/>
      </w:r>
      <w:proofErr w:type="spellStart"/>
      <w:r>
        <w:t>Haaga-Helia</w:t>
      </w:r>
      <w:proofErr w:type="spellEnd"/>
      <w:r>
        <w:t xml:space="preserve"> University of Applied Sciences</w:t>
      </w:r>
      <w:r>
        <w:br/>
      </w:r>
      <w:proofErr w:type="spellStart"/>
      <w:r>
        <w:t>Humak</w:t>
      </w:r>
      <w:proofErr w:type="spellEnd"/>
      <w:r>
        <w:t xml:space="preserve"> University of Applied Sciences</w:t>
      </w:r>
      <w:r>
        <w:br/>
      </w:r>
      <w:proofErr w:type="spellStart"/>
      <w:r>
        <w:t>Häme</w:t>
      </w:r>
      <w:proofErr w:type="spellEnd"/>
      <w:r>
        <w:t xml:space="preserve"> University of Applied Sciences</w:t>
      </w:r>
      <w:r w:rsidR="00ED1ECE">
        <w:br/>
      </w:r>
      <w:proofErr w:type="spellStart"/>
      <w:r w:rsidR="00ED1ECE">
        <w:t>Åland</w:t>
      </w:r>
      <w:proofErr w:type="spellEnd"/>
      <w:r w:rsidR="00ED1ECE">
        <w:t xml:space="preserve"> University of Applied Sciences</w:t>
      </w:r>
      <w:r>
        <w:br/>
        <w:t>JAMK University of Applied Sciences</w:t>
      </w:r>
      <w:r>
        <w:br/>
        <w:t>South-Eastern Finland University of Applied Sciences</w:t>
      </w:r>
      <w:r>
        <w:br/>
        <w:t>KAMK University of Applied Sciences</w:t>
      </w:r>
      <w:r>
        <w:br/>
        <w:t>Karelia University of Applied Sciences</w:t>
      </w:r>
      <w:r>
        <w:br/>
        <w:t>Lahti University of Applied Sciences</w:t>
      </w:r>
      <w:r>
        <w:br/>
        <w:t>Lapland University of Applied Sciences</w:t>
      </w:r>
      <w:r>
        <w:br/>
      </w:r>
      <w:proofErr w:type="spellStart"/>
      <w:r>
        <w:t>Laurea</w:t>
      </w:r>
      <w:proofErr w:type="spellEnd"/>
      <w:r>
        <w:t xml:space="preserve"> University of Applied Sciences</w:t>
      </w:r>
      <w:r>
        <w:br/>
      </w:r>
      <w:proofErr w:type="spellStart"/>
      <w:r>
        <w:t>Metropolia</w:t>
      </w:r>
      <w:proofErr w:type="spellEnd"/>
      <w:r>
        <w:t xml:space="preserve"> University of Applied Sciences</w:t>
      </w:r>
      <w:r>
        <w:br/>
        <w:t>Oulu University of Applied Sciences</w:t>
      </w:r>
      <w:r w:rsidR="00ED1ECE">
        <w:br/>
        <w:t>Police University College</w:t>
      </w:r>
      <w:r>
        <w:br/>
        <w:t>Saimaa University of Applied Sciences</w:t>
      </w:r>
      <w:r>
        <w:br/>
      </w:r>
      <w:proofErr w:type="spellStart"/>
      <w:r>
        <w:t>Satakunta</w:t>
      </w:r>
      <w:proofErr w:type="spellEnd"/>
      <w:r>
        <w:t xml:space="preserve"> University of Applied Sciences</w:t>
      </w:r>
      <w:r>
        <w:br/>
      </w:r>
      <w:proofErr w:type="spellStart"/>
      <w:r>
        <w:t>Savonia</w:t>
      </w:r>
      <w:proofErr w:type="spellEnd"/>
      <w:r>
        <w:t xml:space="preserve"> University of Applied Sciences</w:t>
      </w:r>
      <w:r>
        <w:br/>
      </w:r>
      <w:proofErr w:type="spellStart"/>
      <w:r>
        <w:t>Seinäjoki</w:t>
      </w:r>
      <w:proofErr w:type="spellEnd"/>
      <w:r>
        <w:t xml:space="preserve"> University of Applied Sciences</w:t>
      </w:r>
      <w:r>
        <w:br/>
        <w:t>Tampere University of Applied Sciences</w:t>
      </w:r>
      <w:r>
        <w:br/>
        <w:t>Turku University of Applied Sciences</w:t>
      </w:r>
      <w:r>
        <w:br/>
        <w:t>Vaasa University of Applied Sciences</w:t>
      </w:r>
      <w:r>
        <w:br/>
      </w:r>
      <w:proofErr w:type="spellStart"/>
      <w:r>
        <w:t>Arcada</w:t>
      </w:r>
      <w:proofErr w:type="spellEnd"/>
      <w:r>
        <w:t xml:space="preserve"> University of Applied Sciences</w:t>
      </w:r>
      <w:r>
        <w:br/>
      </w:r>
      <w:proofErr w:type="spellStart"/>
      <w:r>
        <w:t>Novia</w:t>
      </w:r>
      <w:proofErr w:type="spellEnd"/>
      <w:r>
        <w:t xml:space="preserve"> University of Applied Sciences</w:t>
      </w:r>
    </w:p>
    <w:p w14:paraId="523923C1" w14:textId="2461C4F6" w:rsidR="00594647" w:rsidRPr="00B1167C" w:rsidRDefault="00594647" w:rsidP="00B1167C">
      <w:pPr>
        <w:rPr>
          <w:i/>
        </w:rPr>
      </w:pPr>
      <w:r>
        <w:rPr>
          <w:i/>
        </w:rPr>
        <w:br/>
      </w:r>
    </w:p>
    <w:sectPr w:rsidR="00594647" w:rsidRPr="00B1167C" w:rsidSect="00B646D9">
      <w:pgSz w:w="11907" w:h="16839" w:code="9"/>
      <w:pgMar w:top="1417" w:right="1134" w:bottom="1417" w:left="113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91435E"/>
    <w:multiLevelType w:val="hybridMultilevel"/>
    <w:tmpl w:val="B6B5AF25"/>
    <w:lvl w:ilvl="0" w:tplc="FFFFFFFF">
      <w:start w:val="1"/>
      <w:numFmt w:val="bullet"/>
      <w:lvlText w:val="•"/>
      <w:lvlJc w:val="left"/>
    </w:lvl>
    <w:lvl w:ilvl="1" w:tplc="5ACF283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9B15A98"/>
    <w:multiLevelType w:val="hybridMultilevel"/>
    <w:tmpl w:val="7E3ADFAE"/>
    <w:lvl w:ilvl="0" w:tplc="79F2C18E">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1032F63"/>
    <w:multiLevelType w:val="hybridMultilevel"/>
    <w:tmpl w:val="3D847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A0A0410"/>
    <w:multiLevelType w:val="hybridMultilevel"/>
    <w:tmpl w:val="ED1E48D0"/>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67492776"/>
    <w:multiLevelType w:val="hybridMultilevel"/>
    <w:tmpl w:val="7DB2AD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47"/>
    <w:rsid w:val="0003281D"/>
    <w:rsid w:val="00043914"/>
    <w:rsid w:val="0004527F"/>
    <w:rsid w:val="000F052A"/>
    <w:rsid w:val="0013076E"/>
    <w:rsid w:val="00132E1A"/>
    <w:rsid w:val="00173608"/>
    <w:rsid w:val="00212D6E"/>
    <w:rsid w:val="002673E7"/>
    <w:rsid w:val="00267FEE"/>
    <w:rsid w:val="002A6D3E"/>
    <w:rsid w:val="00354295"/>
    <w:rsid w:val="005501A6"/>
    <w:rsid w:val="00594647"/>
    <w:rsid w:val="00747A03"/>
    <w:rsid w:val="007A6D65"/>
    <w:rsid w:val="00800CFC"/>
    <w:rsid w:val="00851AFA"/>
    <w:rsid w:val="00874083"/>
    <w:rsid w:val="008C7446"/>
    <w:rsid w:val="008D51D0"/>
    <w:rsid w:val="00935866"/>
    <w:rsid w:val="009B136D"/>
    <w:rsid w:val="009C0225"/>
    <w:rsid w:val="009E29E7"/>
    <w:rsid w:val="009E7FA5"/>
    <w:rsid w:val="009F1F92"/>
    <w:rsid w:val="00A42534"/>
    <w:rsid w:val="00A8729B"/>
    <w:rsid w:val="00AB75F9"/>
    <w:rsid w:val="00B04522"/>
    <w:rsid w:val="00B1167C"/>
    <w:rsid w:val="00B45EFE"/>
    <w:rsid w:val="00B646D9"/>
    <w:rsid w:val="00C22308"/>
    <w:rsid w:val="00C65612"/>
    <w:rsid w:val="00C8256B"/>
    <w:rsid w:val="00D03F42"/>
    <w:rsid w:val="00DE6506"/>
    <w:rsid w:val="00E06BC4"/>
    <w:rsid w:val="00E84135"/>
    <w:rsid w:val="00E8700C"/>
    <w:rsid w:val="00ED1ECE"/>
    <w:rsid w:val="00F42D93"/>
    <w:rsid w:val="00F509FE"/>
    <w:rsid w:val="00F60EEA"/>
    <w:rsid w:val="00F97727"/>
    <w:rsid w:val="00FB73F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631C"/>
  <w15:chartTrackingRefBased/>
  <w15:docId w15:val="{AAE6DF75-ACB8-4440-B2EA-22C56624E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94647"/>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594647"/>
    <w:pPr>
      <w:ind w:left="720"/>
      <w:contextualSpacing/>
    </w:pPr>
  </w:style>
  <w:style w:type="paragraph" w:styleId="Seliteteksti">
    <w:name w:val="Balloon Text"/>
    <w:basedOn w:val="Normaali"/>
    <w:link w:val="SelitetekstiChar"/>
    <w:uiPriority w:val="99"/>
    <w:semiHidden/>
    <w:unhideWhenUsed/>
    <w:rsid w:val="0003281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3281D"/>
    <w:rPr>
      <w:rFonts w:ascii="Segoe UI" w:hAnsi="Segoe UI" w:cs="Segoe UI"/>
      <w:sz w:val="18"/>
      <w:szCs w:val="18"/>
    </w:rPr>
  </w:style>
  <w:style w:type="character" w:styleId="Kommentinviite">
    <w:name w:val="annotation reference"/>
    <w:basedOn w:val="Kappaleenoletusfontti"/>
    <w:uiPriority w:val="99"/>
    <w:semiHidden/>
    <w:unhideWhenUsed/>
    <w:rsid w:val="00A8729B"/>
    <w:rPr>
      <w:sz w:val="16"/>
      <w:szCs w:val="16"/>
    </w:rPr>
  </w:style>
  <w:style w:type="paragraph" w:styleId="Kommentinteksti">
    <w:name w:val="annotation text"/>
    <w:basedOn w:val="Normaali"/>
    <w:link w:val="KommentintekstiChar"/>
    <w:uiPriority w:val="99"/>
    <w:semiHidden/>
    <w:unhideWhenUsed/>
    <w:rsid w:val="00A8729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8729B"/>
    <w:rPr>
      <w:sz w:val="20"/>
      <w:szCs w:val="20"/>
    </w:rPr>
  </w:style>
  <w:style w:type="paragraph" w:styleId="Kommentinotsikko">
    <w:name w:val="annotation subject"/>
    <w:basedOn w:val="Kommentinteksti"/>
    <w:next w:val="Kommentinteksti"/>
    <w:link w:val="KommentinotsikkoChar"/>
    <w:uiPriority w:val="99"/>
    <w:semiHidden/>
    <w:unhideWhenUsed/>
    <w:rsid w:val="00A8729B"/>
    <w:rPr>
      <w:b/>
      <w:bCs/>
    </w:rPr>
  </w:style>
  <w:style w:type="character" w:customStyle="1" w:styleId="KommentinotsikkoChar">
    <w:name w:val="Kommentin otsikko Char"/>
    <w:basedOn w:val="KommentintekstiChar"/>
    <w:link w:val="Kommentinotsikko"/>
    <w:uiPriority w:val="99"/>
    <w:semiHidden/>
    <w:rsid w:val="00A8729B"/>
    <w:rPr>
      <w:b/>
      <w:bCs/>
      <w:sz w:val="20"/>
      <w:szCs w:val="20"/>
    </w:rPr>
  </w:style>
  <w:style w:type="character" w:customStyle="1" w:styleId="st">
    <w:name w:val="st"/>
    <w:basedOn w:val="Kappaleenoletusfontti"/>
    <w:rsid w:val="009B136D"/>
  </w:style>
  <w:style w:type="character" w:styleId="Korostus">
    <w:name w:val="Emphasis"/>
    <w:basedOn w:val="Kappaleenoletusfontti"/>
    <w:uiPriority w:val="20"/>
    <w:qFormat/>
    <w:rsid w:val="009B13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98038">
      <w:bodyDiv w:val="1"/>
      <w:marLeft w:val="0"/>
      <w:marRight w:val="0"/>
      <w:marTop w:val="0"/>
      <w:marBottom w:val="0"/>
      <w:divBdr>
        <w:top w:val="none" w:sz="0" w:space="0" w:color="auto"/>
        <w:left w:val="none" w:sz="0" w:space="0" w:color="auto"/>
        <w:bottom w:val="none" w:sz="0" w:space="0" w:color="auto"/>
        <w:right w:val="none" w:sz="0" w:space="0" w:color="auto"/>
      </w:divBdr>
    </w:div>
    <w:div w:id="243690384">
      <w:bodyDiv w:val="1"/>
      <w:marLeft w:val="0"/>
      <w:marRight w:val="0"/>
      <w:marTop w:val="0"/>
      <w:marBottom w:val="0"/>
      <w:divBdr>
        <w:top w:val="none" w:sz="0" w:space="0" w:color="auto"/>
        <w:left w:val="none" w:sz="0" w:space="0" w:color="auto"/>
        <w:bottom w:val="none" w:sz="0" w:space="0" w:color="auto"/>
        <w:right w:val="none" w:sz="0" w:space="0" w:color="auto"/>
      </w:divBdr>
    </w:div>
    <w:div w:id="289365466">
      <w:bodyDiv w:val="1"/>
      <w:marLeft w:val="0"/>
      <w:marRight w:val="0"/>
      <w:marTop w:val="0"/>
      <w:marBottom w:val="0"/>
      <w:divBdr>
        <w:top w:val="none" w:sz="0" w:space="0" w:color="auto"/>
        <w:left w:val="none" w:sz="0" w:space="0" w:color="auto"/>
        <w:bottom w:val="none" w:sz="0" w:space="0" w:color="auto"/>
        <w:right w:val="none" w:sz="0" w:space="0" w:color="auto"/>
      </w:divBdr>
    </w:div>
    <w:div w:id="718164540">
      <w:bodyDiv w:val="1"/>
      <w:marLeft w:val="0"/>
      <w:marRight w:val="0"/>
      <w:marTop w:val="0"/>
      <w:marBottom w:val="0"/>
      <w:divBdr>
        <w:top w:val="none" w:sz="0" w:space="0" w:color="auto"/>
        <w:left w:val="none" w:sz="0" w:space="0" w:color="auto"/>
        <w:bottom w:val="none" w:sz="0" w:space="0" w:color="auto"/>
        <w:right w:val="none" w:sz="0" w:space="0" w:color="auto"/>
      </w:divBdr>
    </w:div>
    <w:div w:id="1551258541">
      <w:bodyDiv w:val="1"/>
      <w:marLeft w:val="0"/>
      <w:marRight w:val="0"/>
      <w:marTop w:val="0"/>
      <w:marBottom w:val="0"/>
      <w:divBdr>
        <w:top w:val="none" w:sz="0" w:space="0" w:color="auto"/>
        <w:left w:val="none" w:sz="0" w:space="0" w:color="auto"/>
        <w:bottom w:val="none" w:sz="0" w:space="0" w:color="auto"/>
        <w:right w:val="none" w:sz="0" w:space="0" w:color="auto"/>
      </w:divBdr>
    </w:div>
    <w:div w:id="1696691319">
      <w:bodyDiv w:val="1"/>
      <w:marLeft w:val="0"/>
      <w:marRight w:val="0"/>
      <w:marTop w:val="0"/>
      <w:marBottom w:val="0"/>
      <w:divBdr>
        <w:top w:val="none" w:sz="0" w:space="0" w:color="auto"/>
        <w:left w:val="none" w:sz="0" w:space="0" w:color="auto"/>
        <w:bottom w:val="none" w:sz="0" w:space="0" w:color="auto"/>
        <w:right w:val="none" w:sz="0" w:space="0" w:color="auto"/>
      </w:divBdr>
    </w:div>
    <w:div w:id="20028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6D86-2F84-498F-B5A8-2300EB17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648</Words>
  <Characters>5256</Characters>
  <Application>Microsoft Office Word</Application>
  <DocSecurity>4</DocSecurity>
  <Lines>43</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Reijonen, Suvi M</dc:creator>
  <cp:keywords/>
  <dc:description/>
  <cp:lastModifiedBy>Haapala Satu</cp:lastModifiedBy>
  <cp:revision>2</cp:revision>
  <cp:lastPrinted>2019-02-14T11:15:00Z</cp:lastPrinted>
  <dcterms:created xsi:type="dcterms:W3CDTF">2019-03-11T13:18:00Z</dcterms:created>
  <dcterms:modified xsi:type="dcterms:W3CDTF">2019-03-11T13:18:00Z</dcterms:modified>
</cp:coreProperties>
</file>